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Course Title: Introduction to Human Services and Resources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(Careers)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Grade Level: 10-12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Semester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Study in which students explore their own interests and abilities in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relationship to potential career choices: develop a life plan for achieving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individual, family and career goals; examine the reciprocal nature of work and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family; and demonstrate problem solving. Teamwork, communication,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conflict resolution, leadership and self-management skills are learned.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Students will practice filling out common forms used to get a job. They will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have a working resume, and job application to follow when they leave.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