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Fonts w:ascii="Georgia" w:cs="Georgia" w:eastAsia="Georgia" w:hAnsi="Georgia"/>
          <w:color w:val="333333"/>
          <w:sz w:val="24"/>
          <w:szCs w:val="24"/>
          <w:highlight w:val="white"/>
          <w:rtl w:val="0"/>
        </w:rPr>
        <w:t xml:space="preserve">This course is designed for students with a strong foundation in mathematics and the physical sciences.  The format will include lecture, discussion, problem-solving, and laboratory work.  Quantitative skills learned  in second year algebra/trigonometry and chemistry will be employed in the problem solving concepts covered.  General areas of study will include concepts of mechanics, motion, astronomy, heat, light, sound, magnetism, and electricity.</w:t>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Physics is an advanced level science class that satisfies the high school graduation requirement of a physical science class. The physics curriculum includes interactions of matter and energy, velocity, accelerations, force, energy, momentum and charge. Students will be challenged to apply their knowledge of the laws of physics to solve physics related critical thinking problems.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